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480" w:before="0" w:line="276" w:lineRule="auto"/>
        <w:rPr/>
      </w:pPr>
      <w:bookmarkStart w:colFirst="0" w:colLast="0" w:name="_gjdgxs" w:id="0"/>
      <w:bookmarkEnd w:id="0"/>
      <w:r w:rsidDel="00000000" w:rsidR="00000000" w:rsidRPr="00000000">
        <w:rPr>
          <w:rtl w:val="0"/>
        </w:rPr>
        <w:t xml:space="preserve">Project assessment rubric</w:t>
      </w:r>
    </w:p>
    <w:tbl>
      <w:tblPr>
        <w:tblStyle w:val="Table1"/>
        <w:tblW w:w="13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3655"/>
        <w:gridCol w:w="3655"/>
        <w:gridCol w:w="3655"/>
        <w:gridCol w:w="765"/>
        <w:tblGridChange w:id="0">
          <w:tblGrid>
            <w:gridCol w:w="2250"/>
            <w:gridCol w:w="3655"/>
            <w:gridCol w:w="3655"/>
            <w:gridCol w:w="3655"/>
            <w:gridCol w:w="7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b w:val="1"/>
                <w:rtl w:val="0"/>
              </w:rPr>
              <w:t xml:space="preserve">Emerging</w:t>
            </w:r>
            <w:r w:rsidDel="00000000" w:rsidR="00000000" w:rsidRPr="00000000">
              <w:rPr>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b w:val="1"/>
                <w:rtl w:val="0"/>
              </w:rPr>
              <w:t xml:space="preserve">Expected</w:t>
            </w: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b w:val="1"/>
                <w:rtl w:val="0"/>
              </w:rPr>
              <w:t xml:space="preserve">Exceeding</w:t>
            </w: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Purpose</w:t>
            </w:r>
          </w:p>
          <w:p w:rsidR="00000000" w:rsidDel="00000000" w:rsidP="00000000" w:rsidRDefault="00000000" w:rsidRPr="00000000" w14:paraId="00000008">
            <w:pPr>
              <w:widowControl w:val="0"/>
              <w:spacing w:before="120" w:line="240" w:lineRule="auto"/>
              <w:rPr>
                <w:sz w:val="20"/>
                <w:szCs w:val="20"/>
              </w:rPr>
            </w:pPr>
            <w:r w:rsidDel="00000000" w:rsidR="00000000" w:rsidRPr="00000000">
              <w:rPr>
                <w:sz w:val="20"/>
                <w:szCs w:val="20"/>
                <w:rtl w:val="0"/>
              </w:rPr>
              <w:t xml:space="preserve">Project diary: Day 3</w:t>
            </w:r>
          </w:p>
          <w:p w:rsidR="00000000" w:rsidDel="00000000" w:rsidP="00000000" w:rsidRDefault="00000000" w:rsidRPr="00000000" w14:paraId="00000009">
            <w:pPr>
              <w:widowControl w:val="0"/>
              <w:spacing w:line="240" w:lineRule="auto"/>
              <w:rPr/>
            </w:pPr>
            <w:r w:rsidDel="00000000" w:rsidR="00000000" w:rsidRPr="00000000">
              <w:rPr>
                <w:sz w:val="20"/>
                <w:szCs w:val="20"/>
                <w:rtl w:val="0"/>
              </w:rPr>
              <w:t xml:space="preserve">Task: The prototype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The problem or the audience are not clearly defined. The proposed design is not particularly well suited to address the problem or match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The problem and the audience are clearly defined. The proposed design seems to address the problem and match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The problem and the audience are clearly defined. The proposed design is original and/or especially well-considered for the problem and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Design</w:t>
            </w:r>
          </w:p>
          <w:p w:rsidR="00000000" w:rsidDel="00000000" w:rsidP="00000000" w:rsidRDefault="00000000" w:rsidRPr="00000000" w14:paraId="0000000F">
            <w:pPr>
              <w:widowControl w:val="0"/>
              <w:spacing w:before="120" w:line="240" w:lineRule="auto"/>
              <w:rPr>
                <w:sz w:val="20"/>
                <w:szCs w:val="20"/>
              </w:rPr>
            </w:pPr>
            <w:r w:rsidDel="00000000" w:rsidR="00000000" w:rsidRPr="00000000">
              <w:rPr>
                <w:sz w:val="20"/>
                <w:szCs w:val="20"/>
                <w:rtl w:val="0"/>
              </w:rPr>
              <w:t xml:space="preserve">Project diary: Day 3</w:t>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Task: The prototype </w:t>
            </w:r>
          </w:p>
          <w:p w:rsidR="00000000" w:rsidDel="00000000" w:rsidP="00000000" w:rsidRDefault="00000000" w:rsidRPr="00000000" w14:paraId="000000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The description of the functionality or how it is achieved is incomplete. Input, processing, and output are not appropriately used in the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There is a complete description of the functionality and how it is achieved in terms of inputs, processing, and outputs.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There is a detailed, decomposed description of the functionality and how it is achieved in terms of inputs, processing, and outputs. Sketches or diagrams are also employed.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20"/>
                <w:szCs w:val="20"/>
              </w:rPr>
            </w:pPr>
            <w:r w:rsidDel="00000000" w:rsidR="00000000" w:rsidRPr="00000000">
              <w:rPr>
                <w:b w:val="1"/>
                <w:rtl w:val="0"/>
              </w:rPr>
              <w:t xml:space="preserve">Implementation</w:t>
            </w:r>
            <w:r w:rsidDel="00000000" w:rsidR="00000000" w:rsidRPr="00000000">
              <w:rPr>
                <w:rtl w:val="0"/>
              </w:rPr>
            </w:r>
          </w:p>
          <w:p w:rsidR="00000000" w:rsidDel="00000000" w:rsidP="00000000" w:rsidRDefault="00000000" w:rsidRPr="00000000" w14:paraId="00000017">
            <w:pPr>
              <w:widowControl w:val="0"/>
              <w:spacing w:before="120" w:line="240" w:lineRule="auto"/>
              <w:rPr/>
            </w:pPr>
            <w:r w:rsidDel="00000000" w:rsidR="00000000" w:rsidRPr="00000000">
              <w:rPr>
                <w:sz w:val="20"/>
                <w:szCs w:val="20"/>
                <w:rtl w:val="0"/>
              </w:rPr>
              <w:t xml:space="preserve">Evaluate prototype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The prototype is not fully functional. Features are missing, or not working as 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The prototype works as expected, providing the intended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The prototype works as expected, possibly providing extended features. It is evident that extra effort has been put into construction or usability.</w:t>
            </w:r>
          </w:p>
          <w:p w:rsidR="00000000" w:rsidDel="00000000" w:rsidP="00000000" w:rsidRDefault="00000000" w:rsidRPr="00000000" w14:paraId="0000001B">
            <w:pPr>
              <w:widowControl w:val="0"/>
              <w:spacing w:before="120" w:line="240" w:lineRule="auto"/>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Allocate additional points for code that is well-documented and/or especially elegant.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Ambition</w:t>
            </w:r>
          </w:p>
          <w:p w:rsidR="00000000" w:rsidDel="00000000" w:rsidP="00000000" w:rsidRDefault="00000000" w:rsidRPr="00000000" w14:paraId="0000001E">
            <w:pPr>
              <w:widowControl w:val="0"/>
              <w:spacing w:before="120" w:line="240" w:lineRule="auto"/>
              <w:rPr/>
            </w:pPr>
            <w:r w:rsidDel="00000000" w:rsidR="00000000" w:rsidRPr="00000000">
              <w:rPr>
                <w:sz w:val="20"/>
                <w:szCs w:val="20"/>
                <w:rtl w:val="0"/>
              </w:rPr>
              <w:t xml:space="preserve">Evaluate prototype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The implemented functionality is too simple for the time provided. The underlying program does not go beyond the elementary patterns supplied in the introductory lessons.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The implemented functionality is realistic, given the time constraints. The underlying program successfully combines different programming constructs to achieve the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The implemented functionality is beyond expectations, given the time constraints.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Feedback</w:t>
            </w:r>
          </w:p>
          <w:p w:rsidR="00000000" w:rsidDel="00000000" w:rsidP="00000000" w:rsidRDefault="00000000" w:rsidRPr="00000000" w14:paraId="00000024">
            <w:pPr>
              <w:widowControl w:val="0"/>
              <w:spacing w:before="120" w:line="240" w:lineRule="auto"/>
              <w:rPr>
                <w:sz w:val="20"/>
                <w:szCs w:val="20"/>
              </w:rPr>
            </w:pPr>
            <w:r w:rsidDel="00000000" w:rsidR="00000000" w:rsidRPr="00000000">
              <w:rPr>
                <w:sz w:val="20"/>
                <w:szCs w:val="20"/>
                <w:rtl w:val="0"/>
              </w:rPr>
              <w:t xml:space="preserve">Project diary: Days 1 and 2</w:t>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Task: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Recording of peer feedback and response to it is incomplete or cursory.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Peer feedback has been recorded, along with a response to the individual feedback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Peer feedback has been recorded. The response is appropriate for the feedback and, where valid feedback has been received, the response indicates how it will lead to improvements in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Evaluation</w:t>
            </w:r>
          </w:p>
          <w:p w:rsidR="00000000" w:rsidDel="00000000" w:rsidP="00000000" w:rsidRDefault="00000000" w:rsidRPr="00000000" w14:paraId="0000002B">
            <w:pPr>
              <w:widowControl w:val="0"/>
              <w:spacing w:before="120" w:line="240" w:lineRule="auto"/>
              <w:rPr>
                <w:sz w:val="20"/>
                <w:szCs w:val="20"/>
              </w:rPr>
            </w:pPr>
            <w:r w:rsidDel="00000000" w:rsidR="00000000" w:rsidRPr="00000000">
              <w:rPr>
                <w:sz w:val="20"/>
                <w:szCs w:val="20"/>
                <w:rtl w:val="0"/>
              </w:rPr>
              <w:t xml:space="preserve">Project diary: Day 3</w:t>
            </w:r>
          </w:p>
          <w:p w:rsidR="00000000" w:rsidDel="00000000" w:rsidP="00000000" w:rsidRDefault="00000000" w:rsidRPr="00000000" w14:paraId="0000002C">
            <w:pPr>
              <w:widowControl w:val="0"/>
              <w:spacing w:line="240" w:lineRule="auto"/>
              <w:rPr/>
            </w:pPr>
            <w:r w:rsidDel="00000000" w:rsidR="00000000" w:rsidRPr="00000000">
              <w:rPr>
                <w:sz w:val="20"/>
                <w:szCs w:val="20"/>
                <w:rtl w:val="0"/>
              </w:rPr>
              <w:t xml:space="preserve">Task: Self-reflection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The self-reflection is incomplete or cursory.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The self-reflection contains a complete description of at least one problem and one top tip.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The self-reflection is thorough and insightful. The problems, solutions, and suggestions indicate that useful knowledge and experience has been obtained through the project.</w:t>
            </w:r>
          </w:p>
          <w:p w:rsidR="00000000" w:rsidDel="00000000" w:rsidP="00000000" w:rsidRDefault="00000000" w:rsidRPr="00000000" w14:paraId="00000030">
            <w:pPr>
              <w:widowControl w:val="0"/>
              <w:spacing w:before="120" w:line="240" w:lineRule="auto"/>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is especially important for projects where the implementation is not fully functional. Learners will be able to balance their assessment if they have been able to document/explain the problems that led to such an 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bl>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37">
      <w:pPr>
        <w:rPr>
          <w:color w:val="666666"/>
          <w:sz w:val="18"/>
          <w:szCs w:val="18"/>
        </w:rPr>
      </w:pPr>
      <w:r w:rsidDel="00000000" w:rsidR="00000000" w:rsidRPr="00000000">
        <w:rPr>
          <w:rtl w:val="0"/>
        </w:rPr>
      </w:r>
    </w:p>
    <w:p w:rsidR="00000000" w:rsidDel="00000000" w:rsidP="00000000" w:rsidRDefault="00000000" w:rsidRPr="00000000" w14:paraId="00000038">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7">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39">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1906" w:w="16838"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01-06-21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276" w:lineRule="auto"/>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01-06-21</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76" w:lineRule="auto"/>
            <w:ind w:right="-234.09400000000002"/>
            <w:rPr>
              <w:color w:val="666666"/>
              <w:sz w:val="18"/>
              <w:szCs w:val="18"/>
            </w:rPr>
          </w:pPr>
          <w:r w:rsidDel="00000000" w:rsidR="00000000" w:rsidRPr="00000000">
            <w:rPr>
              <w:color w:val="666666"/>
              <w:sz w:val="18"/>
              <w:szCs w:val="18"/>
              <w:rtl w:val="0"/>
            </w:rPr>
            <w:t xml:space="preserve">Year 9 – Physical computing</w:t>
          </w:r>
        </w:p>
        <w:p w:rsidR="00000000" w:rsidDel="00000000" w:rsidP="00000000" w:rsidRDefault="00000000" w:rsidRPr="00000000" w14:paraId="0000003C">
          <w:pPr>
            <w:ind w:right="-234.09448818897602"/>
            <w:rPr>
              <w:color w:val="666666"/>
              <w:sz w:val="18"/>
              <w:szCs w:val="18"/>
            </w:rPr>
          </w:pPr>
          <w:r w:rsidDel="00000000" w:rsidR="00000000" w:rsidRPr="00000000">
            <w:rPr>
              <w:color w:val="666666"/>
              <w:sz w:val="18"/>
              <w:szCs w:val="18"/>
              <w:rtl w:val="0"/>
            </w:rPr>
            <w:t xml:space="preserve">Lesson 6 – Wrap it up</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03D">
          <w:pPr>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ind w:right="150"/>
            <w:jc w:val="right"/>
            <w:rPr>
              <w:color w:val="666666"/>
              <w:sz w:val="18"/>
              <w:szCs w:val="18"/>
            </w:rPr>
          </w:pPr>
          <w:r w:rsidDel="00000000" w:rsidR="00000000" w:rsidRPr="00000000">
            <w:rPr>
              <w:color w:val="666666"/>
              <w:sz w:val="18"/>
              <w:szCs w:val="18"/>
              <w:rtl w:val="0"/>
            </w:rPr>
            <w:t xml:space="preserve">Assessment rubric</w:t>
          </w:r>
        </w:p>
        <w:p w:rsidR="00000000" w:rsidDel="00000000" w:rsidP="00000000" w:rsidRDefault="00000000" w:rsidRPr="00000000" w14:paraId="0000003F">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40">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41">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42">
    <w:pPr>
      <w:tabs>
        <w:tab w:val="center" w:pos="4513"/>
        <w:tab w:val="right" w:pos="9026"/>
      </w:tabs>
      <w:spacing w:line="240" w:lineRule="auto"/>
      <w:rPr>
        <w:rFonts w:ascii="Arial" w:cs="Arial" w:eastAsia="Arial" w:hAnsi="Arial"/>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ind w:left="-720" w:right="-690" w:firstLine="0"/>
      <w:rPr>
        <w:rFonts w:ascii="Arial" w:cs="Arial" w:eastAsia="Arial" w:hAnsi="Arial"/>
        <w:color w:val="666666"/>
      </w:rPr>
    </w:pPr>
    <w:r w:rsidDel="00000000" w:rsidR="00000000" w:rsidRPr="00000000">
      <w:rPr>
        <w:rtl w:val="0"/>
      </w:rPr>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76" w:lineRule="auto"/>
            <w:ind w:left="0" w:right="-234.09400000000002" w:firstLine="0"/>
            <w:rPr>
              <w:color w:val="666666"/>
              <w:sz w:val="18"/>
              <w:szCs w:val="18"/>
            </w:rPr>
          </w:pPr>
          <w:r w:rsidDel="00000000" w:rsidR="00000000" w:rsidRPr="00000000">
            <w:rPr>
              <w:color w:val="666666"/>
              <w:sz w:val="18"/>
              <w:szCs w:val="18"/>
              <w:rtl w:val="0"/>
            </w:rPr>
            <w:t xml:space="preserve">Year 9 – Physical computing</w:t>
          </w:r>
          <w:r w:rsidDel="00000000" w:rsidR="00000000" w:rsidRPr="00000000">
            <w:rPr>
              <w:rtl w:val="0"/>
            </w:rPr>
          </w:r>
        </w:p>
        <w:p w:rsidR="00000000" w:rsidDel="00000000" w:rsidP="00000000" w:rsidRDefault="00000000" w:rsidRPr="00000000" w14:paraId="00000046">
          <w:pPr>
            <w:ind w:left="0" w:right="-234.09448818897602" w:firstLine="0"/>
            <w:rPr>
              <w:color w:val="666666"/>
              <w:sz w:val="18"/>
              <w:szCs w:val="18"/>
            </w:rPr>
          </w:pPr>
          <w:r w:rsidDel="00000000" w:rsidR="00000000" w:rsidRPr="00000000">
            <w:rPr>
              <w:color w:val="666666"/>
              <w:sz w:val="18"/>
              <w:szCs w:val="18"/>
              <w:rtl w:val="0"/>
            </w:rPr>
            <w:t xml:space="preserve">Lesson 6 – Wrap it up</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047">
          <w:pPr>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right="150"/>
            <w:jc w:val="right"/>
            <w:rPr>
              <w:color w:val="666666"/>
              <w:sz w:val="18"/>
              <w:szCs w:val="18"/>
            </w:rPr>
          </w:pPr>
          <w:r w:rsidDel="00000000" w:rsidR="00000000" w:rsidRPr="00000000">
            <w:rPr>
              <w:color w:val="666666"/>
              <w:sz w:val="18"/>
              <w:szCs w:val="18"/>
              <w:rtl w:val="0"/>
            </w:rPr>
            <w:t xml:space="preserve">Assessment rubric</w:t>
          </w:r>
        </w:p>
        <w:p w:rsidR="00000000" w:rsidDel="00000000" w:rsidP="00000000" w:rsidRDefault="00000000" w:rsidRPr="00000000" w14:paraId="00000049">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4A">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4B">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ncce.io/tcc"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