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76" w:lineRule="auto"/>
        <w:rPr/>
      </w:pPr>
      <w:bookmarkStart w:colFirst="0" w:colLast="0" w:name="_gjdgxs" w:id="0"/>
      <w:bookmarkEnd w:id="0"/>
      <w:r w:rsidDel="00000000" w:rsidR="00000000" w:rsidRPr="00000000">
        <w:rPr>
          <w:rtl w:val="0"/>
        </w:rPr>
        <w:t xml:space="preserve">Unit assessment rubric</w:t>
      </w:r>
    </w:p>
    <w:p w:rsidR="00000000" w:rsidDel="00000000" w:rsidP="00000000" w:rsidRDefault="00000000" w:rsidRPr="00000000" w14:paraId="00000002">
      <w:pPr>
        <w:pStyle w:val="Heading1"/>
        <w:spacing w:line="276" w:lineRule="auto"/>
        <w:rPr/>
      </w:pPr>
      <w:bookmarkStart w:colFirst="0" w:colLast="0" w:name="_30j0zll" w:id="1"/>
      <w:bookmarkEnd w:id="1"/>
      <w:r w:rsidDel="00000000" w:rsidR="00000000" w:rsidRPr="00000000">
        <w:rPr>
          <w:rtl w:val="0"/>
        </w:rPr>
        <w:t xml:space="preserve">Introduction</w:t>
      </w:r>
    </w:p>
    <w:p w:rsidR="00000000" w:rsidDel="00000000" w:rsidP="00000000" w:rsidRDefault="00000000" w:rsidRPr="00000000" w14:paraId="00000003">
      <w:pPr>
        <w:rPr/>
      </w:pPr>
      <w:r w:rsidDel="00000000" w:rsidR="00000000" w:rsidRPr="00000000">
        <w:rPr>
          <w:rtl w:val="0"/>
        </w:rPr>
        <w:t xml:space="preserve">This rubric will be used to assess your work in completing and presenting your group’s digital media artefact.</w:t>
      </w:r>
    </w:p>
    <w:p w:rsidR="00000000" w:rsidDel="00000000" w:rsidP="00000000" w:rsidRDefault="00000000" w:rsidRPr="00000000" w14:paraId="00000004">
      <w:pPr>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1.6"/>
        <w:gridCol w:w="2791.6"/>
        <w:gridCol w:w="2791.6"/>
        <w:gridCol w:w="2791.6"/>
        <w:gridCol w:w="2791.6"/>
        <w:tblGridChange w:id="0">
          <w:tblGrid>
            <w:gridCol w:w="2791.6"/>
            <w:gridCol w:w="2791.6"/>
            <w:gridCol w:w="2791.6"/>
            <w:gridCol w:w="2791.6"/>
            <w:gridCol w:w="2791.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Criterion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 evidence – 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Beginning – 10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Developing – 20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Excelling – 30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Planning with pre-production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pre-production methods used were basic and ideas were beginning to become 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pre-production methods used were clear and the presentation of them showed good 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pre-production methods used for the media artefacts created were excellent and well presented.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Logo design and creation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logo design was clear, with some limited evidence of design choices. The technical creation began to meet the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logo was well designed, with clear reasons for design choices made. The technical creation showed good development of the design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logo was well designed, with clear reasons for design choices made. The technical creation of the logo showed a </w:t>
            </w:r>
            <w:r w:rsidDel="00000000" w:rsidR="00000000" w:rsidRPr="00000000">
              <w:rPr>
                <w:rtl w:val="0"/>
              </w:rPr>
              <w:t xml:space="preserve">highly </w:t>
            </w:r>
            <w:r w:rsidDel="00000000" w:rsidR="00000000" w:rsidRPr="00000000">
              <w:rPr>
                <w:rtl w:val="0"/>
              </w:rPr>
              <w:t xml:space="preserve">sophisticated use of the tools.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Creative interpretation of brief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group showed a limited creative interpretation of the brief. Their presentation showed a basic level of development of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group interpreted the brief creatively. Their documentation and presentation showed good progress of design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group interpreted the brief creatively. Their documentation and presentation showed a highly developed flow of design ideas and reasoning.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Technical delivery of the artefact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media artefact delivered by the group showed a basic understanding of the technical tools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media artefact created by the group was delivered to a good technical level. The development of ideas through the technical tools was 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media artefact created by the group was delivered to a high technical level. The group demonstrated a successful</w:t>
            </w:r>
            <w:r w:rsidDel="00000000" w:rsidR="00000000" w:rsidRPr="00000000">
              <w:rPr>
                <w:rtl w:val="0"/>
              </w:rPr>
              <w:t xml:space="preserve"> </w:t>
            </w:r>
            <w:r w:rsidDel="00000000" w:rsidR="00000000" w:rsidRPr="00000000">
              <w:rPr>
                <w:rtl w:val="0"/>
              </w:rPr>
              <w:t xml:space="preserve">use of the tools.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Group work and collaboration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Teamwork and collaboration was evident, however, it was demonstrated at a limited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Teamwork and collaboration was clear, but some group members appeared to be taking on more work than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Teamwork and task delegation was excellent, with all group members playing an active part in the successful delivery of the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Presentation and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No evidence provided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presentation began to show some limited use of the tools and methods. The documentation of the process was limited in its coverage.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presentation showed some use of the tools and methods. The documentation showed good progression through the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presentation was well developed and clearly presented, and all group members participated. The documentation of the process followed by the group was clear and covered all stages of the process.</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line="276" w:lineRule="auto"/>
        <w:rPr>
          <w:color w:val="666666"/>
          <w:sz w:val="18"/>
          <w:szCs w:val="18"/>
        </w:rPr>
      </w:pPr>
      <w:r w:rsidDel="00000000" w:rsidR="00000000" w:rsidRPr="00000000">
        <w:rPr>
          <w:rtl w:val="0"/>
        </w:rPr>
      </w:r>
    </w:p>
    <w:p w:rsidR="00000000" w:rsidDel="00000000" w:rsidP="00000000" w:rsidRDefault="00000000" w:rsidRPr="00000000" w14:paraId="0000002A">
      <w:pPr>
        <w:spacing w:line="276" w:lineRule="auto"/>
        <w:rPr>
          <w:color w:val="666666"/>
          <w:sz w:val="18"/>
          <w:szCs w:val="18"/>
        </w:rPr>
      </w:pPr>
      <w:r w:rsidDel="00000000" w:rsidR="00000000" w:rsidRPr="00000000">
        <w:rPr>
          <w:color w:val="666666"/>
          <w:sz w:val="18"/>
          <w:szCs w:val="18"/>
          <w:rtl w:val="0"/>
        </w:rPr>
        <w:t xml:space="preserve">Resources are updated regularly — please check that you are using the latest version.</w:t>
      </w:r>
    </w:p>
    <w:p w:rsidR="00000000" w:rsidDel="00000000" w:rsidP="00000000" w:rsidRDefault="00000000" w:rsidRPr="00000000" w14:paraId="0000002B">
      <w:pPr>
        <w:spacing w:line="276" w:lineRule="auto"/>
        <w:rPr/>
      </w:pPr>
      <w:r w:rsidDel="00000000" w:rsidR="00000000" w:rsidRPr="00000000">
        <w:rPr>
          <w:color w:val="666666"/>
          <w:sz w:val="18"/>
          <w:szCs w:val="18"/>
          <w:rtl w:val="0"/>
        </w:rPr>
        <w:t xml:space="preserve">This resource is licensed under the Open Government Licence, version 3. For more information on this licence, see </w:t>
      </w:r>
      <w:hyperlink r:id="rId6">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7" w:type="default"/>
      <w:footerReference r:id="rId8" w:type="default"/>
      <w:pgSz w:h="11906" w:w="16838"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17-06-20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76" w:lineRule="auto"/>
      <w:ind w:left="-720" w:right="-690" w:firstLine="0"/>
      <w:rPr>
        <w:rFonts w:ascii="Arial" w:cs="Arial" w:eastAsia="Arial" w:hAnsi="Arial"/>
        <w:color w:val="666666"/>
      </w:rPr>
    </w:pPr>
    <w:r w:rsidDel="00000000" w:rsidR="00000000" w:rsidRPr="00000000">
      <w:rPr>
        <w:rtl w:val="0"/>
      </w:rPr>
    </w:r>
  </w:p>
  <w:tbl>
    <w:tblPr>
      <w:tblStyle w:val="Table2"/>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spacing w:line="276" w:lineRule="auto"/>
            <w:ind w:left="0" w:right="-234.09448818897602" w:firstLine="0"/>
            <w:rPr>
              <w:color w:val="666666"/>
              <w:sz w:val="18"/>
              <w:szCs w:val="18"/>
            </w:rPr>
          </w:pPr>
          <w:r w:rsidDel="00000000" w:rsidR="00000000" w:rsidRPr="00000000">
            <w:rPr>
              <w:color w:val="666666"/>
              <w:sz w:val="18"/>
              <w:szCs w:val="18"/>
              <w:rtl w:val="0"/>
            </w:rPr>
            <w:t xml:space="preserve"> KS4 – Media</w:t>
          </w:r>
          <w:r w:rsidDel="00000000" w:rsidR="00000000" w:rsidRPr="00000000">
            <w:drawing>
              <wp:anchor allowOverlap="1" behindDoc="0" distB="0" distT="0" distL="114300" distR="114300" hidden="0" layoutInCell="1" locked="0" relativeHeight="0" simplePos="0">
                <wp:simplePos x="0" y="0"/>
                <wp:positionH relativeFrom="column">
                  <wp:posOffset>66676</wp:posOffset>
                </wp:positionH>
                <wp:positionV relativeFrom="paragraph">
                  <wp:posOffset>0</wp:posOffset>
                </wp:positionV>
                <wp:extent cx="985838" cy="4381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838" cy="438150"/>
                        </a:xfrm>
                        <a:prstGeom prst="rect"/>
                        <a:ln/>
                      </pic:spPr>
                    </pic:pic>
                  </a:graphicData>
                </a:graphic>
              </wp:anchor>
            </w:drawing>
          </w:r>
        </w:p>
        <w:p w:rsidR="00000000" w:rsidDel="00000000" w:rsidP="00000000" w:rsidRDefault="00000000" w:rsidRPr="00000000" w14:paraId="0000002E">
          <w:pPr>
            <w:spacing w:line="276" w:lineRule="auto"/>
            <w:ind w:left="0" w:right="-234.09448818897602" w:firstLine="0"/>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assessment rubric</w:t>
          </w:r>
        </w:p>
        <w:p w:rsidR="00000000" w:rsidDel="00000000" w:rsidP="00000000" w:rsidRDefault="00000000" w:rsidRPr="00000000" w14:paraId="00000030">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31">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32">
    <w:pPr>
      <w:spacing w:line="276" w:lineRule="auto"/>
      <w:ind w:left="0" w:right="-234.09448818897602" w:firstLine="0"/>
      <w:jc w:val="left"/>
      <w:rPr>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76" w:lineRule="auto"/>
    </w:pPr>
    <w:rPr>
      <w:rFonts w:ascii="Quicksand" w:cs="Quicksand" w:eastAsia="Quicksand" w:hAnsi="Quicksand"/>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276" w:lineRule="auto"/>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cce.io/og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